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90C4B" w14:textId="77777777" w:rsidR="00F275B8" w:rsidRPr="0074719F" w:rsidRDefault="0074719F">
      <w:pPr>
        <w:rPr>
          <w:lang w:val="hu-HU"/>
        </w:rPr>
      </w:pPr>
      <w:r w:rsidRPr="0074719F">
        <w:rPr>
          <w:b/>
          <w:lang w:val="hu-HU"/>
        </w:rPr>
        <w:t>Jogszabályváltozások a fogászatban I. Rész: EESZT</w:t>
      </w:r>
    </w:p>
    <w:p w14:paraId="184963E1" w14:textId="77777777" w:rsidR="00F275B8" w:rsidRPr="0074719F" w:rsidRDefault="0074719F" w:rsidP="00D60974">
      <w:pPr>
        <w:ind w:left="720"/>
        <w:jc w:val="both"/>
        <w:rPr>
          <w:i/>
          <w:iCs/>
          <w:lang w:val="hu-HU"/>
        </w:rPr>
      </w:pPr>
      <w:r w:rsidRPr="0074719F">
        <w:rPr>
          <w:i/>
          <w:iCs/>
          <w:lang w:val="hu-HU"/>
        </w:rPr>
        <w:t>A koronavírus első felvonását Magyarországon minden valószínűség szerint átvészeltük, így a veszélyhelyzet elmúltával most szembesülünk az idénre tervezett jogszabály változásokkal. Ennek egyik, ha nem a legfontosabb, része az Elektronikus Egészségügyi Szolgáltatási Térhez (EESZT) való csatlakozási kötelezettség. A csatlakozás sokszor nehézkes útvesztőjét lassan minden kolléga abszolválja, viszont tisztában vagyunk-e vele mivel állunk szembe? Milyen kötelezettségeink vannak és mit kínál a fogászati szektor számára ez a bizonyos Tér a jövőben? Cikkemben összefoglalom az EESZT-vel kapcsolatos minket, fogorvosokat, érintő aktuális információkat.</w:t>
      </w:r>
    </w:p>
    <w:p w14:paraId="7B0B2F57" w14:textId="2A86264F" w:rsidR="00F275B8" w:rsidRPr="0074719F" w:rsidRDefault="0074719F" w:rsidP="00D60974">
      <w:pPr>
        <w:jc w:val="both"/>
        <w:rPr>
          <w:lang w:val="hu-HU"/>
        </w:rPr>
      </w:pPr>
      <w:r w:rsidRPr="0074719F">
        <w:rPr>
          <w:lang w:val="hu-HU"/>
        </w:rPr>
        <w:t xml:space="preserve">Az EESZT Magyarországon 2017. november 1. napjával indult, amikortól az összes háziorvos, kórházi szakellátó és gyógyszertár köteles volt csatlakozni a Térhez. Ez a csatlakozási folyamat a gyakorlatot tekintve jóval lassabban valósult meg ténylegesen és a háziorvos kollégáknál is több havi, akár fél éves csúszással ment végbe. Mi, fogorvosok eddig egy kivételezett helyzetben voltunk, mivel a 2017-es csatlakozási határidőből kaptunk egy felmentést, a MOK Fogorvosi Tagozatának kérésének hála. Ugyanakkor a járványhelyzet kicsit feledtette azt a bizonyos új, </w:t>
      </w:r>
      <w:r w:rsidRPr="0074719F">
        <w:rPr>
          <w:b/>
          <w:lang w:val="hu-HU"/>
        </w:rPr>
        <w:t>június 1-ei határidőt</w:t>
      </w:r>
      <w:r w:rsidRPr="0074719F">
        <w:rPr>
          <w:lang w:val="hu-HU"/>
        </w:rPr>
        <w:t>, amely már törvényileg meghatározta, hogy minden fogorvosi ellátónak is műszakilag csatlakoznia szükséges az EESZT-</w:t>
      </w:r>
      <w:proofErr w:type="spellStart"/>
      <w:r w:rsidRPr="0074719F">
        <w:rPr>
          <w:lang w:val="hu-HU"/>
        </w:rPr>
        <w:t>hez</w:t>
      </w:r>
      <w:proofErr w:type="spellEnd"/>
      <w:r w:rsidRPr="0074719F">
        <w:rPr>
          <w:lang w:val="hu-HU"/>
        </w:rPr>
        <w:t>, a magán egészségügyi szolgáltatókkal egyetemben.</w:t>
      </w:r>
    </w:p>
    <w:p w14:paraId="772411DD" w14:textId="77777777" w:rsidR="00F275B8" w:rsidRPr="0074719F" w:rsidRDefault="0074719F">
      <w:pPr>
        <w:pStyle w:val="Heading1"/>
        <w:keepNext/>
        <w:rPr>
          <w:lang w:val="hu-HU"/>
        </w:rPr>
      </w:pPr>
      <w:r w:rsidRPr="0074719F">
        <w:rPr>
          <w:lang w:val="hu-HU"/>
        </w:rPr>
        <w:t>A csatlakozás folyamata</w:t>
      </w:r>
    </w:p>
    <w:p w14:paraId="3DCE55D4" w14:textId="34CDE1F9" w:rsidR="00F275B8" w:rsidRPr="0074719F" w:rsidRDefault="0074719F" w:rsidP="00D60974">
      <w:pPr>
        <w:jc w:val="both"/>
        <w:rPr>
          <w:lang w:val="hu-HU"/>
        </w:rPr>
      </w:pPr>
      <w:r w:rsidRPr="0074719F">
        <w:rPr>
          <w:lang w:val="hu-HU"/>
        </w:rPr>
        <w:t xml:space="preserve">A csatlakozás, egy több lépcsőből álló folyamat, amely az ÁEEK EESZT információs portálján (https://e-egeszsegugy.gov.hu/) pontosan részletezve van. Dióhéjban egy adminisztratív csatlakozással kezdődik, amikor a fogorvosi tevékenységünkkel kapcsolatos adatokat, illetve a cégünk vagy egyéni vállalkozásunk információit tartalmazó dokumentumot kell visszaküldeni az ÁEEK részére. E közben meg kell rendelnünk a kártya olvasót, amelyet a közfeladatot ellátó szolgáltatók részére az ÁEEK ingyenesen biztosít és pár hetes átfutással kézbesít is részünkre. E mellett intézkednünk kell az </w:t>
      </w:r>
      <w:proofErr w:type="spellStart"/>
      <w:r w:rsidRPr="0074719F">
        <w:rPr>
          <w:lang w:val="hu-HU"/>
        </w:rPr>
        <w:t>eSzemélyi</w:t>
      </w:r>
      <w:proofErr w:type="spellEnd"/>
      <w:r w:rsidRPr="0074719F">
        <w:rPr>
          <w:lang w:val="hu-HU"/>
        </w:rPr>
        <w:t xml:space="preserve"> igazolvány igényléséről. Ha megtörtént az EESZT rendszerébe való felvételünk, ezt az ÁEEK központ e-mailben jelzi számunkra, majd kapunk egy SMS kódot a megadott telefonszámunkra, amelynek segítségével hitelesítenünk kell egy tanúsítványt az Ágazati Portálon. Fontos megjegyeznem, hogy </w:t>
      </w:r>
      <w:r w:rsidR="00AF21EF" w:rsidRPr="0074719F">
        <w:rPr>
          <w:lang w:val="hu-HU"/>
        </w:rPr>
        <w:t>van,</w:t>
      </w:r>
      <w:r w:rsidRPr="0074719F">
        <w:rPr>
          <w:lang w:val="hu-HU"/>
        </w:rPr>
        <w:t xml:space="preserve"> akinek ez az SMS kód már évekkel ez előtt megjött, mert az első lépést már 2017-ben megcsinálta, az a hitelesítő kód ugyanúgy működik most is. Ha ezzel megvagyunk </w:t>
      </w:r>
      <w:r w:rsidRPr="00AF21EF">
        <w:rPr>
          <w:b/>
          <w:bCs/>
          <w:lang w:val="hu-HU"/>
        </w:rPr>
        <w:t>akkor lényegében elvégeztük a műszaki csatlakozást</w:t>
      </w:r>
      <w:r w:rsidRPr="0074719F">
        <w:rPr>
          <w:lang w:val="hu-HU"/>
        </w:rPr>
        <w:t>.</w:t>
      </w:r>
    </w:p>
    <w:p w14:paraId="2FBF7A50" w14:textId="77777777" w:rsidR="00F275B8" w:rsidRPr="0074719F" w:rsidRDefault="0074719F">
      <w:pPr>
        <w:pStyle w:val="Heading1"/>
        <w:keepNext/>
        <w:rPr>
          <w:lang w:val="hu-HU"/>
        </w:rPr>
      </w:pPr>
      <w:r w:rsidRPr="0074719F">
        <w:rPr>
          <w:lang w:val="hu-HU"/>
        </w:rPr>
        <w:t>Az adatszolgáltatás</w:t>
      </w:r>
    </w:p>
    <w:p w14:paraId="5FC40FCD" w14:textId="77777777" w:rsidR="00F275B8" w:rsidRPr="0074719F" w:rsidRDefault="0074719F" w:rsidP="00D60974">
      <w:pPr>
        <w:jc w:val="both"/>
        <w:rPr>
          <w:lang w:val="hu-HU"/>
        </w:rPr>
      </w:pPr>
      <w:r w:rsidRPr="00AF21EF">
        <w:rPr>
          <w:b/>
          <w:bCs/>
          <w:lang w:val="hu-HU"/>
        </w:rPr>
        <w:t>A műszaki csatlakozási kötelezettség, sajnos nem egyértelműen vonja maga után az adatszolgáltatási kötelezettséget is.</w:t>
      </w:r>
      <w:r w:rsidRPr="0074719F">
        <w:rPr>
          <w:lang w:val="hu-HU"/>
        </w:rPr>
        <w:t xml:space="preserve"> A jogszabályok változása az elmúlt időszakban nem egységesen, hanem saláta-törvények formájában valósult meg. Így a 39/2016. (XII. 21.) EMMI rendelet, másnéven </w:t>
      </w:r>
      <w:r w:rsidRPr="0074719F">
        <w:rPr>
          <w:b/>
          <w:lang w:val="hu-HU"/>
        </w:rPr>
        <w:t>EESZT rendelet</w:t>
      </w:r>
      <w:r w:rsidRPr="0074719F">
        <w:rPr>
          <w:lang w:val="hu-HU"/>
        </w:rPr>
        <w:t xml:space="preserve">, a műszaki csatlakozásunkról rendelkezik ugyan, ugyanakkor a </w:t>
      </w:r>
      <w:r w:rsidRPr="0074719F">
        <w:rPr>
          <w:b/>
          <w:lang w:val="hu-HU"/>
        </w:rPr>
        <w:t xml:space="preserve">fogorvosi szolgáltatók </w:t>
      </w:r>
      <w:r w:rsidRPr="0074719F">
        <w:rPr>
          <w:b/>
          <w:lang w:val="hu-HU"/>
        </w:rPr>
        <w:lastRenderedPageBreak/>
        <w:t>adatszolgáltatásról nem</w:t>
      </w:r>
      <w:r w:rsidRPr="0074719F">
        <w:rPr>
          <w:lang w:val="hu-HU"/>
        </w:rPr>
        <w:t xml:space="preserve">. A cikk írásának pillanatában is az szerepel - immár majd fél éve - az EESZT információs portáján, hogy </w:t>
      </w:r>
      <w:r w:rsidRPr="0074719F">
        <w:rPr>
          <w:i/>
          <w:lang w:val="hu-HU"/>
        </w:rPr>
        <w:t>"a Rendelet jelenleg módosítás alatt áll"</w:t>
      </w:r>
      <w:r w:rsidRPr="0074719F">
        <w:rPr>
          <w:lang w:val="hu-HU"/>
        </w:rPr>
        <w:t>. Miközben a többszörösen módosított 96/2003. (VII. 15.) Korm. rendelet kitér arra, hogy az új belépő bármely egészségügyi szolgáltatók esetén az EESZT csatlakozásra kötelezett "</w:t>
      </w:r>
      <w:r w:rsidRPr="0074719F">
        <w:rPr>
          <w:i/>
          <w:lang w:val="hu-HU"/>
        </w:rPr>
        <w:t>a működési engedély kiadását követően az EESZT adatszolgáltatási kötelezettségét folyamatosan teljesíti</w:t>
      </w:r>
      <w:r w:rsidRPr="0074719F">
        <w:rPr>
          <w:lang w:val="hu-HU"/>
        </w:rPr>
        <w:t xml:space="preserve">". E mellett az utóbbi Kormány rendelet előírja azt is, hogy az adatszolgáltatás teljesítése ellenőrizhető, és mulasztás esetén büntetést, esetleg a működési engedély visszavonását vonhatja maga után. A módosított 43/1999. (III. 3.) Korm. rendelet továbbá rendelkezik már arról is, hogy a fekvőbeteg-szakellátási események esetében már a NEAK is összenézheti az EESZT-ben és a NEAK felé jelentett adatokat. Ha az ellenőrzés során kiderül, hogy nem egyezik meg a NEAK felé jelentett teljesítmény és a Térben lévő adathalmaz, a kérdéses teljesítmény finanszírozás visszavonható. Értelemszerűen fogorvosok nincsennek még nevesítve ebben a rendeletben sem, ugyanakkor nem nehéz </w:t>
      </w:r>
      <w:proofErr w:type="spellStart"/>
      <w:r w:rsidRPr="0074719F">
        <w:rPr>
          <w:lang w:val="hu-HU"/>
        </w:rPr>
        <w:t>továbbgondolni</w:t>
      </w:r>
      <w:proofErr w:type="spellEnd"/>
      <w:r w:rsidRPr="0074719F">
        <w:rPr>
          <w:lang w:val="hu-HU"/>
        </w:rPr>
        <w:t xml:space="preserve"> a törvényhozói akaratot, amely bármikortól nevesíthet minket is.</w:t>
      </w:r>
    </w:p>
    <w:p w14:paraId="7F9F02E9" w14:textId="77777777" w:rsidR="00F275B8" w:rsidRPr="0074719F" w:rsidRDefault="0074719F" w:rsidP="00D60974">
      <w:pPr>
        <w:jc w:val="both"/>
        <w:rPr>
          <w:lang w:val="hu-HU"/>
        </w:rPr>
      </w:pPr>
      <w:r w:rsidRPr="0074719F">
        <w:rPr>
          <w:lang w:val="hu-HU"/>
        </w:rPr>
        <w:t xml:space="preserve">Ennek alapján azt mondhatjuk, ugyan </w:t>
      </w:r>
      <w:r w:rsidRPr="0074719F">
        <w:rPr>
          <w:i/>
          <w:lang w:val="hu-HU"/>
        </w:rPr>
        <w:t xml:space="preserve">nem írja elő </w:t>
      </w:r>
      <w:r w:rsidRPr="0074719F">
        <w:rPr>
          <w:b/>
          <w:i/>
          <w:lang w:val="hu-HU"/>
        </w:rPr>
        <w:t>még</w:t>
      </w:r>
      <w:r w:rsidRPr="0074719F">
        <w:rPr>
          <w:lang w:val="hu-HU"/>
        </w:rPr>
        <w:t xml:space="preserve"> a jogszabály a fogorvosi szolgáltatók kötelező adatszolgáltatását, ugyanakkor a más jogszabályokban található kereszthivatkozások miatt már most </w:t>
      </w:r>
      <w:r w:rsidRPr="0074719F">
        <w:rPr>
          <w:b/>
          <w:lang w:val="hu-HU"/>
        </w:rPr>
        <w:t>mindenképp erősen javasolt a folyamatos és pontos adatszolgáltatás megkezdése a Tér felé</w:t>
      </w:r>
      <w:r w:rsidRPr="0074719F">
        <w:rPr>
          <w:lang w:val="hu-HU"/>
        </w:rPr>
        <w:t>. Így, mindenképp javasolom a kollégák számára, aki még nem csatlakozott, hogy csatlakozzon és ezt követően folyamatosan jelentse a fogorvosi a tevékenységét a Térbe, a közellátást végző kollegák esetében a NEAK e-Jelentési adattartalomnak megfelelően. Ezzel minden kolléga el fogja tudni kerülni, hogy esetleges mulasztás miatt büntetést szabjanak ki rá a jövőben.</w:t>
      </w:r>
    </w:p>
    <w:p w14:paraId="123FA3E0" w14:textId="77777777" w:rsidR="00F275B8" w:rsidRPr="0074719F" w:rsidRDefault="0074719F">
      <w:pPr>
        <w:pStyle w:val="Heading1"/>
        <w:keepNext/>
        <w:rPr>
          <w:lang w:val="hu-HU"/>
        </w:rPr>
      </w:pPr>
      <w:r w:rsidRPr="0074719F">
        <w:rPr>
          <w:lang w:val="hu-HU"/>
        </w:rPr>
        <w:t>De milyen szoftverrel?</w:t>
      </w:r>
    </w:p>
    <w:p w14:paraId="2E7E8C56" w14:textId="77777777" w:rsidR="00F275B8" w:rsidRPr="0074719F" w:rsidRDefault="0074719F" w:rsidP="00D60974">
      <w:pPr>
        <w:jc w:val="both"/>
        <w:rPr>
          <w:lang w:val="hu-HU"/>
        </w:rPr>
      </w:pPr>
      <w:r w:rsidRPr="0074719F">
        <w:rPr>
          <w:lang w:val="hu-HU"/>
        </w:rPr>
        <w:t>Viszont, ha adatot szolgáltatunk rögtön fel is merül a kérdés, hogy mivel? Milyen számítógépes szoftver szükséges hozzá? A fogászati közellátó szolgáltatók eddig 70-80%-ban, a NEAK által biztosított és folyamatosan fejlesztett Tételes Fogászat (</w:t>
      </w:r>
      <w:proofErr w:type="spellStart"/>
      <w:r w:rsidRPr="0074719F">
        <w:rPr>
          <w:lang w:val="hu-HU"/>
        </w:rPr>
        <w:t>TetFog</w:t>
      </w:r>
      <w:proofErr w:type="spellEnd"/>
      <w:r w:rsidRPr="0074719F">
        <w:rPr>
          <w:lang w:val="hu-HU"/>
        </w:rPr>
        <w:t xml:space="preserve">) szoftvert használtak. Ez a szoftver az ígéretekkel ellentétben ingyenesen nem alkalmas és nem is lesz alkalmas a NEAK és az ÁEEK felé történő egyidejű adattovábbításra. Így, aki ezt használta mindenképp szoftvert kell váltania (vagy a </w:t>
      </w:r>
      <w:proofErr w:type="spellStart"/>
      <w:r w:rsidRPr="0074719F">
        <w:rPr>
          <w:lang w:val="hu-HU"/>
        </w:rPr>
        <w:t>TetFoghoz</w:t>
      </w:r>
      <w:proofErr w:type="spellEnd"/>
      <w:r w:rsidRPr="0074719F">
        <w:rPr>
          <w:lang w:val="hu-HU"/>
        </w:rPr>
        <w:t xml:space="preserve"> a </w:t>
      </w:r>
      <w:proofErr w:type="spellStart"/>
      <w:r w:rsidRPr="0074719F">
        <w:rPr>
          <w:lang w:val="hu-HU"/>
        </w:rPr>
        <w:t>Gekkosoft</w:t>
      </w:r>
      <w:proofErr w:type="spellEnd"/>
      <w:r w:rsidRPr="0074719F">
        <w:rPr>
          <w:lang w:val="hu-HU"/>
        </w:rPr>
        <w:t xml:space="preserve"> által készített fizetős interfész kiegészítő szoftvert kell megvásárolnia). Az ÁEEK részéről volt szó korábban egy alternatív szoftverről, de a </w:t>
      </w:r>
      <w:proofErr w:type="spellStart"/>
      <w:r w:rsidRPr="0074719F">
        <w:rPr>
          <w:lang w:val="hu-HU"/>
        </w:rPr>
        <w:t>miniHIS</w:t>
      </w:r>
      <w:proofErr w:type="spellEnd"/>
      <w:r w:rsidRPr="0074719F">
        <w:rPr>
          <w:lang w:val="hu-HU"/>
        </w:rPr>
        <w:t xml:space="preserve"> nem kapott fogászati támogatást. A szoftver váltás viszont egyszerűbb, mint valaha, szolgáltatók hada tette lehetővé, hogy a beteg adminisztráció mellett az EESZT adatszolgáltatásra is képes legyen a szoftvere így a </w:t>
      </w:r>
      <w:proofErr w:type="spellStart"/>
      <w:r w:rsidRPr="0074719F">
        <w:rPr>
          <w:lang w:val="hu-HU"/>
        </w:rPr>
        <w:t>Flexi-Dent</w:t>
      </w:r>
      <w:proofErr w:type="spellEnd"/>
      <w:r w:rsidRPr="0074719F">
        <w:rPr>
          <w:lang w:val="hu-HU"/>
        </w:rPr>
        <w:t xml:space="preserve">, </w:t>
      </w:r>
      <w:proofErr w:type="spellStart"/>
      <w:r w:rsidRPr="0074719F">
        <w:rPr>
          <w:lang w:val="hu-HU"/>
        </w:rPr>
        <w:t>Cloud</w:t>
      </w:r>
      <w:proofErr w:type="spellEnd"/>
      <w:r w:rsidRPr="0074719F">
        <w:rPr>
          <w:lang w:val="hu-HU"/>
        </w:rPr>
        <w:t xml:space="preserve"> </w:t>
      </w:r>
      <w:proofErr w:type="spellStart"/>
      <w:r w:rsidRPr="0074719F">
        <w:rPr>
          <w:lang w:val="hu-HU"/>
        </w:rPr>
        <w:t>Dent</w:t>
      </w:r>
      <w:proofErr w:type="spellEnd"/>
      <w:r w:rsidRPr="0074719F">
        <w:rPr>
          <w:lang w:val="hu-HU"/>
        </w:rPr>
        <w:t xml:space="preserve">, </w:t>
      </w:r>
      <w:proofErr w:type="spellStart"/>
      <w:r w:rsidRPr="0074719F">
        <w:rPr>
          <w:lang w:val="hu-HU"/>
        </w:rPr>
        <w:t>DentAdmin</w:t>
      </w:r>
      <w:proofErr w:type="spellEnd"/>
      <w:r w:rsidRPr="0074719F">
        <w:rPr>
          <w:lang w:val="hu-HU"/>
        </w:rPr>
        <w:t xml:space="preserve"> 3, Dental 4 (SEC), </w:t>
      </w:r>
      <w:proofErr w:type="spellStart"/>
      <w:r w:rsidRPr="0074719F">
        <w:rPr>
          <w:lang w:val="hu-HU"/>
        </w:rPr>
        <w:t>DentalPocket</w:t>
      </w:r>
      <w:proofErr w:type="spellEnd"/>
      <w:r w:rsidRPr="0074719F">
        <w:rPr>
          <w:lang w:val="hu-HU"/>
        </w:rPr>
        <w:t xml:space="preserve">, </w:t>
      </w:r>
      <w:proofErr w:type="spellStart"/>
      <w:r w:rsidRPr="0074719F">
        <w:rPr>
          <w:lang w:val="hu-HU"/>
        </w:rPr>
        <w:t>ArpaDent</w:t>
      </w:r>
      <w:proofErr w:type="spellEnd"/>
      <w:r w:rsidRPr="0074719F">
        <w:rPr>
          <w:lang w:val="hu-HU"/>
        </w:rPr>
        <w:t xml:space="preserve"> frissített változata is megfelel a jogszabályi követelményeknek. Ugyanakkor ezek legtöbbje havidíjas alternatíva, egyedüli ingyenes szoftver a </w:t>
      </w:r>
      <w:proofErr w:type="spellStart"/>
      <w:r w:rsidRPr="0074719F">
        <w:rPr>
          <w:lang w:val="hu-HU"/>
        </w:rPr>
        <w:t>Flexi-Dent</w:t>
      </w:r>
      <w:proofErr w:type="spellEnd"/>
      <w:r w:rsidRPr="0074719F">
        <w:rPr>
          <w:lang w:val="hu-HU"/>
        </w:rPr>
        <w:t xml:space="preserve"> FREE változata, amely két székig teljesen térítésmentesen használható online szoftver. Természetesen a felülete és használata különbözik a jól megszokott </w:t>
      </w:r>
      <w:proofErr w:type="spellStart"/>
      <w:r w:rsidRPr="0074719F">
        <w:rPr>
          <w:lang w:val="hu-HU"/>
        </w:rPr>
        <w:t>TetFogtól</w:t>
      </w:r>
      <w:proofErr w:type="spellEnd"/>
      <w:r w:rsidRPr="0074719F">
        <w:rPr>
          <w:lang w:val="hu-HU"/>
        </w:rPr>
        <w:t>, de NEAK-os partner rendelőket bevonva folyamatos fejlesztés alatt áll. Már mostani funkcionalitásban is egy közellátó praxist teljes mértékig ki tud szolgálni.</w:t>
      </w:r>
    </w:p>
    <w:p w14:paraId="47DA8F6A" w14:textId="77777777" w:rsidR="00F275B8" w:rsidRPr="0074719F" w:rsidRDefault="0074719F">
      <w:pPr>
        <w:pStyle w:val="Heading1"/>
        <w:keepNext/>
        <w:rPr>
          <w:lang w:val="hu-HU"/>
        </w:rPr>
      </w:pPr>
      <w:r w:rsidRPr="0074719F">
        <w:rPr>
          <w:lang w:val="hu-HU"/>
        </w:rPr>
        <w:lastRenderedPageBreak/>
        <w:t>Miben segít nekünk az EESZT?</w:t>
      </w:r>
    </w:p>
    <w:p w14:paraId="26BCBCFC" w14:textId="77777777" w:rsidR="00F275B8" w:rsidRPr="0074719F" w:rsidRDefault="0074719F" w:rsidP="00D60974">
      <w:pPr>
        <w:jc w:val="both"/>
        <w:rPr>
          <w:lang w:val="hu-HU"/>
        </w:rPr>
      </w:pPr>
      <w:r w:rsidRPr="0074719F">
        <w:rPr>
          <w:lang w:val="hu-HU"/>
        </w:rPr>
        <w:t>Számtalanszor elhangzott közhely, hogy az EESZT célja egy univerzális online Tér létrehozása, ahol egy páciens teljes betegéletútjában bekövetkező összes esemény rögzíthető és folyamatosan nyomon követhető az őt kezelő orvosok számára. Ha ez még a mai napon nem is igaz, amint mindenki csatlakozik és a valóságnak megfelelő jelentéseket tesz a jövőben mindenképp így lesz. Nézzünk pár példát:</w:t>
      </w:r>
    </w:p>
    <w:p w14:paraId="31AAE378" w14:textId="77777777" w:rsidR="00F275B8" w:rsidRPr="0074719F" w:rsidRDefault="0074719F" w:rsidP="00D60974">
      <w:pPr>
        <w:numPr>
          <w:ilvl w:val="0"/>
          <w:numId w:val="2"/>
        </w:numPr>
        <w:spacing w:before="0" w:after="0"/>
        <w:jc w:val="both"/>
        <w:rPr>
          <w:lang w:val="hu-HU"/>
        </w:rPr>
      </w:pPr>
      <w:r w:rsidRPr="0074719F">
        <w:rPr>
          <w:lang w:val="hu-HU"/>
        </w:rPr>
        <w:t>Az e-Recept rész segítségével le tudjuk kérdezni foghúzás előtt - ha nem rendelkezett másként a digitális önrendelkezési jogával - hogy a vérzékenység mentes páciens a sosem szedett vérhígítóját valójában 5 éve folyamatosan kiváltja.</w:t>
      </w:r>
    </w:p>
    <w:p w14:paraId="03E536DB" w14:textId="77777777" w:rsidR="00F275B8" w:rsidRPr="0074719F" w:rsidRDefault="0074719F" w:rsidP="00D60974">
      <w:pPr>
        <w:numPr>
          <w:ilvl w:val="0"/>
          <w:numId w:val="2"/>
        </w:numPr>
        <w:spacing w:before="0" w:after="0"/>
        <w:jc w:val="both"/>
        <w:rPr>
          <w:lang w:val="hu-HU"/>
        </w:rPr>
      </w:pPr>
      <w:r w:rsidRPr="0074719F">
        <w:rPr>
          <w:lang w:val="hu-HU"/>
        </w:rPr>
        <w:t>Az e-Recept kiállítását követően le tudjuk kérdezni, hogy a betegünk kiváltotta a neki írt antibiotikumos terápiát.</w:t>
      </w:r>
    </w:p>
    <w:p w14:paraId="0B76353F" w14:textId="49B67EEF" w:rsidR="00F275B8" w:rsidRPr="0074719F" w:rsidRDefault="0074719F" w:rsidP="00D60974">
      <w:pPr>
        <w:numPr>
          <w:ilvl w:val="0"/>
          <w:numId w:val="2"/>
        </w:numPr>
        <w:spacing w:before="0" w:after="0"/>
        <w:jc w:val="both"/>
        <w:rPr>
          <w:lang w:val="hu-HU"/>
        </w:rPr>
      </w:pPr>
      <w:r w:rsidRPr="0074719F">
        <w:rPr>
          <w:lang w:val="hu-HU"/>
        </w:rPr>
        <w:t>Az e-Beutalóval továbbküldött pácienst ellenőrizni tudjuk, hogy a szájsebészetre beutalt foghúzását megcsinálta-e, vagy csak "hatott" az antibiotikum.</w:t>
      </w:r>
    </w:p>
    <w:p w14:paraId="50E56284" w14:textId="77777777" w:rsidR="00F275B8" w:rsidRPr="0074719F" w:rsidRDefault="0074719F" w:rsidP="00D60974">
      <w:pPr>
        <w:numPr>
          <w:ilvl w:val="0"/>
          <w:numId w:val="2"/>
        </w:numPr>
        <w:spacing w:before="0" w:after="0"/>
        <w:jc w:val="both"/>
        <w:rPr>
          <w:lang w:val="hu-HU"/>
        </w:rPr>
      </w:pPr>
      <w:r w:rsidRPr="0074719F">
        <w:rPr>
          <w:lang w:val="hu-HU"/>
        </w:rPr>
        <w:t xml:space="preserve">Az </w:t>
      </w:r>
      <w:proofErr w:type="spellStart"/>
      <w:r w:rsidRPr="0074719F">
        <w:rPr>
          <w:lang w:val="hu-HU"/>
        </w:rPr>
        <w:t>eKórtörténeti</w:t>
      </w:r>
      <w:proofErr w:type="spellEnd"/>
      <w:r w:rsidRPr="0074719F">
        <w:rPr>
          <w:lang w:val="hu-HU"/>
        </w:rPr>
        <w:t xml:space="preserve"> naplóból (EHR) le tudjuk kérdezni, hogy mely kollégák milyen kezelésben részesítették a páciensünket. Esetlegesen fel tudjuk hívni a figyelmét egy esetleg kontrollvizsgálat szükségességére.</w:t>
      </w:r>
    </w:p>
    <w:p w14:paraId="0B013760" w14:textId="5181A563" w:rsidR="00F275B8" w:rsidRPr="0074719F" w:rsidRDefault="0074719F" w:rsidP="00D60974">
      <w:pPr>
        <w:numPr>
          <w:ilvl w:val="0"/>
          <w:numId w:val="2"/>
        </w:numPr>
        <w:spacing w:before="0" w:after="0"/>
        <w:jc w:val="both"/>
        <w:rPr>
          <w:lang w:val="hu-HU"/>
        </w:rPr>
      </w:pPr>
      <w:r w:rsidRPr="0074719F">
        <w:rPr>
          <w:lang w:val="hu-HU"/>
        </w:rPr>
        <w:t>A legújabb idén ősszel aktiválódó modul a Digitális Képtovábbítási és Távkonzílium (DKTK) segítésével látni fogjuk a más fogorvosi szolgáltatók által készített fogorvosi röntgenfelvételeket, illetve távkonzíliumot tudunk majd kezdeményezni.</w:t>
      </w:r>
    </w:p>
    <w:p w14:paraId="48B6140C" w14:textId="77777777" w:rsidR="00F275B8" w:rsidRPr="0074719F" w:rsidRDefault="0074719F" w:rsidP="00D60974">
      <w:pPr>
        <w:jc w:val="both"/>
        <w:rPr>
          <w:lang w:val="hu-HU"/>
        </w:rPr>
      </w:pPr>
      <w:r w:rsidRPr="0074719F">
        <w:rPr>
          <w:lang w:val="hu-HU"/>
        </w:rPr>
        <w:t>A rendszer persze e mellett számtalan gyerekbetegséggel rendelkezik még. Az általunk tett jelentések nem struktúrát adatként, hanem egy egyszerű ambuláns lapként kerülnek fel a Térbe, amelynek átnézése és ellenőrzése jóval több idő mintha listázhatóak lennének a kezelések, a megszokottak szerint. Nem kerülnek fel a korábbi múltbéli kezelések, így egy ideig biztosan nem hagyatkozhatunk csak a Térre.</w:t>
      </w:r>
    </w:p>
    <w:p w14:paraId="0C2BF6B7" w14:textId="77777777" w:rsidR="00F275B8" w:rsidRDefault="0074719F" w:rsidP="00D60974">
      <w:pPr>
        <w:jc w:val="both"/>
        <w:rPr>
          <w:lang w:val="hu-HU"/>
        </w:rPr>
      </w:pPr>
      <w:r w:rsidRPr="0074719F">
        <w:rPr>
          <w:lang w:val="hu-HU"/>
        </w:rPr>
        <w:t xml:space="preserve">Ugyanakkor az, hogy minden a kezeléssel kapcsolatos releváns információt láthatunk nagyban fogja segíteni a minőségi és szakszerű ellátást. E mellett persze nem mehetünk el a mellett, hogy a rendszer fogorvos által való használhatósága nagyban fog függeni attól, milyen kellő gondossággal jelennek meg majd az adatok a kollégák részéről a Térben. </w:t>
      </w:r>
      <w:r w:rsidRPr="00AF21EF">
        <w:rPr>
          <w:b/>
          <w:bCs/>
          <w:lang w:val="hu-HU"/>
        </w:rPr>
        <w:t>Remélem minden kolléga kellő alázattal tud hozzáállni az újdonságok ezen formájához, hogy egyben megkönnyítse a többi kolléga munkáját is egyben</w:t>
      </w:r>
      <w:r w:rsidRPr="0074719F">
        <w:rPr>
          <w:lang w:val="hu-HU"/>
        </w:rPr>
        <w:t>.</w:t>
      </w:r>
    </w:p>
    <w:p w14:paraId="141DE66F" w14:textId="77777777" w:rsidR="00576771" w:rsidRPr="00334386" w:rsidRDefault="00576771" w:rsidP="00576771">
      <w:pPr>
        <w:jc w:val="center"/>
        <w:rPr>
          <w:lang w:val="hu-HU"/>
        </w:rPr>
      </w:pPr>
      <w:r>
        <w:rPr>
          <w:lang w:val="hu-HU"/>
        </w:rPr>
        <w:t xml:space="preserve">Írta: </w:t>
      </w:r>
      <w:r w:rsidRPr="00334386">
        <w:rPr>
          <w:b/>
          <w:bCs/>
          <w:lang w:val="hu-HU"/>
        </w:rPr>
        <w:t>Dr. Dul Zoltán</w:t>
      </w:r>
      <w:r>
        <w:rPr>
          <w:b/>
          <w:bCs/>
          <w:lang w:val="hu-HU"/>
        </w:rPr>
        <w:t xml:space="preserve"> PhD</w:t>
      </w:r>
      <w:r>
        <w:rPr>
          <w:lang w:val="hu-HU"/>
        </w:rPr>
        <w:t xml:space="preserve">, </w:t>
      </w:r>
      <w:r w:rsidRPr="00334386">
        <w:rPr>
          <w:i/>
          <w:iCs/>
          <w:lang w:val="hu-HU"/>
        </w:rPr>
        <w:t>fogorvos</w:t>
      </w:r>
    </w:p>
    <w:p w14:paraId="0F6AED4A" w14:textId="77777777" w:rsidR="00576771" w:rsidRPr="0074719F" w:rsidRDefault="00576771" w:rsidP="00D60974">
      <w:pPr>
        <w:jc w:val="both"/>
        <w:rPr>
          <w:lang w:val="hu-HU"/>
        </w:rPr>
      </w:pPr>
    </w:p>
    <w:sectPr w:rsidR="00576771" w:rsidRPr="007471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A08C1"/>
    <w:multiLevelType w:val="hybridMultilevel"/>
    <w:tmpl w:val="BBF05C2A"/>
    <w:lvl w:ilvl="0" w:tplc="1CD68B66">
      <w:start w:val="1"/>
      <w:numFmt w:val="bullet"/>
      <w:lvlText w:val=""/>
      <w:lvlJc w:val="left"/>
      <w:pPr>
        <w:ind w:left="720" w:hanging="360"/>
      </w:pPr>
      <w:rPr>
        <w:rFonts w:ascii="Symbol" w:hAnsi="Symbol" w:hint="default"/>
      </w:rPr>
    </w:lvl>
    <w:lvl w:ilvl="1" w:tplc="6486D342">
      <w:start w:val="1"/>
      <w:numFmt w:val="bullet"/>
      <w:lvlText w:val=""/>
      <w:lvlJc w:val="left"/>
      <w:pPr>
        <w:ind w:left="1440" w:hanging="360"/>
      </w:pPr>
      <w:rPr>
        <w:rFonts w:ascii="Symbol" w:hAnsi="Symbol" w:hint="default"/>
      </w:rPr>
    </w:lvl>
    <w:lvl w:ilvl="2" w:tplc="3B1CF2AA">
      <w:start w:val="1"/>
      <w:numFmt w:val="bullet"/>
      <w:lvlText w:val=""/>
      <w:lvlJc w:val="left"/>
      <w:pPr>
        <w:ind w:left="2160" w:hanging="360"/>
      </w:pPr>
      <w:rPr>
        <w:rFonts w:ascii="Symbol" w:hAnsi="Symbol" w:hint="default"/>
      </w:rPr>
    </w:lvl>
    <w:lvl w:ilvl="3" w:tplc="12AC9E06">
      <w:start w:val="1"/>
      <w:numFmt w:val="bullet"/>
      <w:lvlText w:val=""/>
      <w:lvlJc w:val="left"/>
      <w:pPr>
        <w:ind w:left="2880" w:hanging="360"/>
      </w:pPr>
      <w:rPr>
        <w:rFonts w:ascii="Symbol" w:hAnsi="Symbol" w:hint="default"/>
      </w:rPr>
    </w:lvl>
    <w:lvl w:ilvl="4" w:tplc="B59A55A4">
      <w:start w:val="1"/>
      <w:numFmt w:val="bullet"/>
      <w:lvlText w:val=""/>
      <w:lvlJc w:val="left"/>
      <w:pPr>
        <w:ind w:left="3600" w:hanging="360"/>
      </w:pPr>
      <w:rPr>
        <w:rFonts w:ascii="Symbol" w:hAnsi="Symbol" w:hint="default"/>
      </w:rPr>
    </w:lvl>
    <w:lvl w:ilvl="5" w:tplc="F7202384">
      <w:start w:val="1"/>
      <w:numFmt w:val="bullet"/>
      <w:lvlText w:val=""/>
      <w:lvlJc w:val="left"/>
      <w:pPr>
        <w:ind w:left="4320" w:hanging="360"/>
      </w:pPr>
      <w:rPr>
        <w:rFonts w:ascii="Symbol" w:hAnsi="Symbol" w:hint="default"/>
      </w:rPr>
    </w:lvl>
    <w:lvl w:ilvl="6" w:tplc="CCF0A1EE">
      <w:numFmt w:val="decimal"/>
      <w:lvlText w:val=""/>
      <w:lvlJc w:val="left"/>
    </w:lvl>
    <w:lvl w:ilvl="7" w:tplc="972E5974">
      <w:numFmt w:val="decimal"/>
      <w:lvlText w:val=""/>
      <w:lvlJc w:val="left"/>
    </w:lvl>
    <w:lvl w:ilvl="8" w:tplc="0C6263B0">
      <w:numFmt w:val="decimal"/>
      <w:lvlText w:val=""/>
      <w:lvlJc w:val="left"/>
    </w:lvl>
  </w:abstractNum>
  <w:abstractNum w:abstractNumId="1" w15:restartNumberingAfterBreak="0">
    <w:nsid w:val="099A08C2"/>
    <w:multiLevelType w:val="hybridMultilevel"/>
    <w:tmpl w:val="DC205786"/>
    <w:lvl w:ilvl="0" w:tplc="1DF6B322">
      <w:start w:val="1"/>
      <w:numFmt w:val="bullet"/>
      <w:lvlText w:val=""/>
      <w:lvlJc w:val="left"/>
      <w:pPr>
        <w:ind w:left="720" w:hanging="360"/>
      </w:pPr>
      <w:rPr>
        <w:rFonts w:ascii="Symbol" w:hAnsi="Symbol" w:hint="default"/>
      </w:rPr>
    </w:lvl>
    <w:lvl w:ilvl="1" w:tplc="9FEA5304">
      <w:start w:val="1"/>
      <w:numFmt w:val="bullet"/>
      <w:lvlText w:val=""/>
      <w:lvlJc w:val="left"/>
      <w:pPr>
        <w:ind w:left="1440" w:hanging="360"/>
      </w:pPr>
      <w:rPr>
        <w:rFonts w:ascii="Symbol" w:hAnsi="Symbol" w:hint="default"/>
      </w:rPr>
    </w:lvl>
    <w:lvl w:ilvl="2" w:tplc="30F6DE6C">
      <w:start w:val="1"/>
      <w:numFmt w:val="bullet"/>
      <w:lvlText w:val=""/>
      <w:lvlJc w:val="left"/>
      <w:pPr>
        <w:ind w:left="2160" w:hanging="360"/>
      </w:pPr>
      <w:rPr>
        <w:rFonts w:ascii="Symbol" w:hAnsi="Symbol" w:hint="default"/>
      </w:rPr>
    </w:lvl>
    <w:lvl w:ilvl="3" w:tplc="5A083C00">
      <w:start w:val="1"/>
      <w:numFmt w:val="bullet"/>
      <w:lvlText w:val=""/>
      <w:lvlJc w:val="left"/>
      <w:pPr>
        <w:ind w:left="2880" w:hanging="360"/>
      </w:pPr>
      <w:rPr>
        <w:rFonts w:ascii="Symbol" w:hAnsi="Symbol" w:hint="default"/>
      </w:rPr>
    </w:lvl>
    <w:lvl w:ilvl="4" w:tplc="358231DC">
      <w:start w:val="1"/>
      <w:numFmt w:val="bullet"/>
      <w:lvlText w:val=""/>
      <w:lvlJc w:val="left"/>
      <w:pPr>
        <w:ind w:left="3600" w:hanging="360"/>
      </w:pPr>
      <w:rPr>
        <w:rFonts w:ascii="Symbol" w:hAnsi="Symbol" w:hint="default"/>
      </w:rPr>
    </w:lvl>
    <w:lvl w:ilvl="5" w:tplc="48765F94">
      <w:start w:val="1"/>
      <w:numFmt w:val="bullet"/>
      <w:lvlText w:val=""/>
      <w:lvlJc w:val="left"/>
      <w:pPr>
        <w:ind w:left="4320" w:hanging="360"/>
      </w:pPr>
      <w:rPr>
        <w:rFonts w:ascii="Symbol" w:hAnsi="Symbol" w:hint="default"/>
      </w:rPr>
    </w:lvl>
    <w:lvl w:ilvl="6" w:tplc="4BAA0F26">
      <w:numFmt w:val="decimal"/>
      <w:lvlText w:val=""/>
      <w:lvlJc w:val="left"/>
    </w:lvl>
    <w:lvl w:ilvl="7" w:tplc="7EF4C74A">
      <w:numFmt w:val="decimal"/>
      <w:lvlText w:val=""/>
      <w:lvlJc w:val="left"/>
    </w:lvl>
    <w:lvl w:ilvl="8" w:tplc="18BE828C">
      <w:numFmt w:val="decimal"/>
      <w:lvlText w:val=""/>
      <w:lvlJc w:val="left"/>
    </w:lvl>
  </w:abstractNum>
  <w:num w:numId="1" w16cid:durableId="529076121">
    <w:abstractNumId w:val="0"/>
  </w:num>
  <w:num w:numId="2" w16cid:durableId="936447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FB8"/>
    <w:rsid w:val="00423093"/>
    <w:rsid w:val="00576771"/>
    <w:rsid w:val="006E5FB8"/>
    <w:rsid w:val="0074719F"/>
    <w:rsid w:val="00AF21EF"/>
    <w:rsid w:val="00D60974"/>
    <w:rsid w:val="00F27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1CA8D8"/>
  <w14:defaultImageDpi w14:val="300"/>
  <w15:docId w15:val="{9FDB8B29-4B06-9D47-880E-D81B81E44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300" w:after="300" w:line="336" w:lineRule="auto"/>
    </w:pPr>
  </w:style>
  <w:style w:type="paragraph" w:styleId="Heading1">
    <w:name w:val="heading 1"/>
    <w:basedOn w:val="Normal"/>
    <w:next w:val="Normal"/>
    <w:link w:val="Heading1Char"/>
    <w:uiPriority w:val="9"/>
    <w:qFormat/>
    <w:pPr>
      <w:spacing w:before="540" w:after="180"/>
      <w:outlineLvl w:val="0"/>
    </w:pPr>
    <w:rPr>
      <w:rFonts w:asciiTheme="majorHAnsi" w:eastAsiaTheme="majorEastAsia" w:hAnsiTheme="majorHAnsi" w:cstheme="majorBidi"/>
      <w:b/>
      <w:bCs/>
      <w:kern w:val="36"/>
      <w:sz w:val="36"/>
      <w:szCs w:val="36"/>
    </w:rPr>
  </w:style>
  <w:style w:type="paragraph" w:styleId="Heading2">
    <w:name w:val="heading 2"/>
    <w:basedOn w:val="Normal"/>
    <w:next w:val="Normal"/>
    <w:link w:val="Heading2Char"/>
    <w:uiPriority w:val="9"/>
    <w:qFormat/>
    <w:pPr>
      <w:spacing w:before="480" w:after="160"/>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qFormat/>
    <w:pPr>
      <w:spacing w:before="390" w:after="13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pPr>
      <w:keepNext/>
      <w:keepLines/>
      <w:spacing w:after="100"/>
      <w:outlineLvl w:val="3"/>
    </w:pPr>
    <w:rPr>
      <w:rFonts w:asciiTheme="majorHAnsi" w:eastAsiaTheme="majorEastAsia" w:hAnsiTheme="majorHAnsi" w:cstheme="majorBidi"/>
      <w:b/>
      <w:bCs/>
    </w:rPr>
  </w:style>
  <w:style w:type="paragraph" w:styleId="Heading5">
    <w:name w:val="heading 5"/>
    <w:basedOn w:val="Normal"/>
    <w:next w:val="Normal"/>
    <w:link w:val="Heading5Char"/>
    <w:uiPriority w:val="9"/>
    <w:unhideWhenUsed/>
    <w:qFormat/>
    <w:rsid w:val="006E5FB8"/>
    <w:pPr>
      <w:keepNext/>
      <w:keepLines/>
      <w:spacing w:after="100"/>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unhideWhenUsed/>
    <w:qFormat/>
    <w:rsid w:val="006E5FB8"/>
    <w:pPr>
      <w:keepNext/>
      <w:keepLines/>
      <w:spacing w:after="100"/>
      <w:outlineLvl w:val="5"/>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uiPriority w:val="10"/>
    <w:qFormat/>
    <w:pPr>
      <w:ind w:left="720"/>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45A8A" w:themeColor="accent1" w:themeShade="B5"/>
      <w:sz w:val="36"/>
      <w:szCs w:val="3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E5FB8"/>
    <w:rPr>
      <w:rFonts w:asciiTheme="majorHAnsi" w:eastAsiaTheme="majorEastAsia" w:hAnsiTheme="majorHAnsi" w:cstheme="majorBidi"/>
      <w:b/>
      <w:bCs/>
    </w:rPr>
  </w:style>
  <w:style w:type="character" w:customStyle="1" w:styleId="Heading5Char">
    <w:name w:val="Heading 5 Char"/>
    <w:basedOn w:val="DefaultParagraphFont"/>
    <w:link w:val="Heading5"/>
    <w:uiPriority w:val="9"/>
    <w:rsid w:val="006E5FB8"/>
    <w:rPr>
      <w:rFonts w:asciiTheme="majorHAnsi" w:eastAsiaTheme="majorEastAsia" w:hAnsiTheme="majorHAnsi" w:cstheme="majorBidi"/>
      <w:i/>
      <w:iCs/>
    </w:rPr>
  </w:style>
  <w:style w:type="character" w:customStyle="1" w:styleId="Heading6Char">
    <w:name w:val="Heading 6 Char"/>
    <w:basedOn w:val="DefaultParagraphFont"/>
    <w:link w:val="Heading6"/>
    <w:uiPriority w:val="9"/>
    <w:rsid w:val="006E5FB8"/>
    <w:rPr>
      <w:rFonts w:asciiTheme="majorHAnsi" w:eastAsiaTheme="majorEastAsia" w:hAnsiTheme="majorHAnsi" w:cstheme="majorBidi"/>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Code">
    <w:name w:val="Code"/>
    <w:basedOn w:val="DefaultParagraphFont"/>
    <w:uiPriority w:val="24"/>
    <w:qFormat/>
    <w:rPr>
      <w:rFonts w:ascii="Consolas" w:hAnsi="Consolas" w:cs="Consolas"/>
    </w:rPr>
  </w:style>
  <w:style w:type="character" w:customStyle="1" w:styleId="FootnoteTextChar">
    <w:name w:val="Footnote Text Char"/>
    <w:basedOn w:val="DefaultParagraphFont"/>
    <w:uiPriority w:val="99"/>
    <w:semiHidden/>
  </w:style>
  <w:style w:type="character" w:styleId="FootnoteReference">
    <w:name w:val="footnote reference"/>
    <w:basedOn w:val="DefaultParagraphFont"/>
    <w:uiPriority w:val="99"/>
    <w:semiHidden/>
    <w:unhideWhenUsed/>
    <w:rPr>
      <w:vertAlign w:val="superscript"/>
    </w:rPr>
  </w:style>
  <w:style w:type="paragraph" w:styleId="Caption">
    <w:name w:val="caption"/>
    <w:basedOn w:val="Normal"/>
    <w:next w:val="Normal"/>
    <w:uiPriority w:val="35"/>
    <w:unhideWhenUsed/>
    <w:qFormat/>
    <w:pPr>
      <w:spacing w:after="20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6960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853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1951873">
      <w:blockQuote w:val="1"/>
      <w:marLeft w:val="720"/>
      <w:marRight w:val="720"/>
      <w:marTop w:val="100"/>
      <w:marBottom w:val="10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1281</Words>
  <Characters>7307</Characters>
  <Application>Microsoft Office Word</Application>
  <DocSecurity>0</DocSecurity>
  <Lines>60</Lines>
  <Paragraphs>17</Paragraphs>
  <ScaleCrop>false</ScaleCrop>
  <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Zoltán Dr. Dúl</cp:lastModifiedBy>
  <cp:revision>6</cp:revision>
  <dcterms:created xsi:type="dcterms:W3CDTF">2020-07-29T15:44:00Z</dcterms:created>
  <dcterms:modified xsi:type="dcterms:W3CDTF">2026-06-14T13:55:00Z</dcterms:modified>
</cp:coreProperties>
</file>