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A70C7" w14:textId="77777777" w:rsidR="00AF3F94" w:rsidRPr="00C920DF" w:rsidRDefault="001107CD" w:rsidP="001107CD">
      <w:pPr>
        <w:jc w:val="center"/>
        <w:rPr>
          <w:b/>
          <w:bCs/>
          <w:i/>
          <w:iCs/>
          <w:sz w:val="36"/>
          <w:szCs w:val="36"/>
          <w:lang w:val="hu-HU"/>
        </w:rPr>
      </w:pPr>
      <w:r w:rsidRPr="00C920DF">
        <w:rPr>
          <w:b/>
          <w:bCs/>
          <w:i/>
          <w:iCs/>
          <w:sz w:val="36"/>
          <w:szCs w:val="36"/>
          <w:lang w:val="hu-HU"/>
        </w:rPr>
        <w:t>A praxisközösségek fogorvosi vonatkozásai</w:t>
      </w:r>
    </w:p>
    <w:p w14:paraId="4745886A" w14:textId="77777777" w:rsidR="00AF3F94" w:rsidRPr="00C920DF" w:rsidRDefault="001107CD">
      <w:pPr>
        <w:ind w:left="720"/>
        <w:rPr>
          <w:i/>
          <w:iCs/>
          <w:lang w:val="hu-HU"/>
        </w:rPr>
      </w:pPr>
      <w:r w:rsidRPr="00C920DF">
        <w:rPr>
          <w:i/>
          <w:iCs/>
          <w:lang w:val="hu-HU"/>
        </w:rPr>
        <w:t>Megszületett a praxisközösségekről szóló kormányrendelet, amely a háziorvosok mellett az alapellátó fogorvosokra is vonatkozik. Hogyan jutottunk el idáig? Mit tudunk magáról a rendeletről? Hogyan érintheti ez a fogászati ellátást hosszú távon? Milyen változás várható még? Ezzel foglalkozunk a mostani számunkban.</w:t>
      </w:r>
    </w:p>
    <w:p w14:paraId="518F29BE" w14:textId="77777777" w:rsidR="00AF3F94" w:rsidRPr="00C920DF" w:rsidRDefault="001107CD">
      <w:pPr>
        <w:rPr>
          <w:lang w:val="hu-HU"/>
        </w:rPr>
      </w:pPr>
      <w:r w:rsidRPr="00C920DF">
        <w:rPr>
          <w:lang w:val="hu-HU"/>
        </w:rPr>
        <w:t xml:space="preserve">Vészterhes, eddig példa nélküli időket éltünk meg mind mi, mind az egész világ az elmúlt egy év során. Ez rávilágított számos problémára az egészségügy több területén. Így reflektorfénybe került az alacsony bér és a dolgozók elvándorlása. Ennek köszönhetően megszületett a politikai akarat, hogy több változás szükséges az egészségügyben. A 2020-as év során az összes állami és önkormányzati fenntartású orvos, így a nem privatizált praxisban tevékenykedő fogorvos kollégák is, bekerültek a megszülető egészségügyi szolgálati jogviszony alá. Korábban ennek a lapnak a hasábjain fejtegettük, milyen következményei lehetnének, ha a privatizált fogorvosok kimaradnának az egészségügyet érintő reformokból, így a jelentős béremelésből. Minden jel szerint ez mégsem következett be és </w:t>
      </w:r>
      <w:r w:rsidRPr="00C920DF">
        <w:rPr>
          <w:b/>
          <w:lang w:val="hu-HU"/>
        </w:rPr>
        <w:t>minket, mint az alapellátás egyik ágának prominens képviselőit a háziorvosokat érintő reform rendeletekkel együtt kezel az egészségügyi vezetés</w:t>
      </w:r>
      <w:r w:rsidRPr="00C920DF">
        <w:rPr>
          <w:lang w:val="hu-HU"/>
        </w:rPr>
        <w:t>. De ne szaladjunk ennyire előre, tekintsük át honnan indultunk.</w:t>
      </w:r>
    </w:p>
    <w:p w14:paraId="7C4132B0" w14:textId="77777777" w:rsidR="00AF3F94" w:rsidRPr="00C920DF" w:rsidRDefault="001107CD">
      <w:pPr>
        <w:pStyle w:val="Heading1"/>
        <w:keepNext/>
        <w:rPr>
          <w:lang w:val="hu-HU"/>
        </w:rPr>
      </w:pPr>
      <w:r w:rsidRPr="00C920DF">
        <w:rPr>
          <w:lang w:val="hu-HU"/>
        </w:rPr>
        <w:t>Honnan jön a praxisjog?</w:t>
      </w:r>
    </w:p>
    <w:p w14:paraId="6C4293E1" w14:textId="77777777" w:rsidR="00AF3F94" w:rsidRPr="00C920DF" w:rsidRDefault="001107CD">
      <w:pPr>
        <w:rPr>
          <w:lang w:val="hu-HU"/>
        </w:rPr>
      </w:pPr>
      <w:r w:rsidRPr="00C920DF">
        <w:rPr>
          <w:lang w:val="hu-HU"/>
        </w:rPr>
        <w:t xml:space="preserve">2000-ben született meg az önálló orvosi tevékenységről szóló 2000. évi II. törvény, amely a praxisjogot létrehozta. A praxisjog tulajdonosa az önkormányzat lett, a területi ellátási kötelezettséggel rendelkező orvosok működtetési jogot kaptak. Ez </w:t>
      </w:r>
      <w:r w:rsidRPr="00C920DF">
        <w:rPr>
          <w:b/>
          <w:lang w:val="hu-HU"/>
        </w:rPr>
        <w:t>a működtetési jog egy vagyonértékű jog, amely egy értékesíthető, de sajnos elévülő magántulajdont fed le</w:t>
      </w:r>
      <w:r w:rsidRPr="00C920DF">
        <w:rPr>
          <w:lang w:val="hu-HU"/>
        </w:rPr>
        <w:t>. A törvény kiköti, hogy egy orvosnak egy ilyen joga lehet. Az értékesítésébe ugyanakkor az önkormányzatok beleszólhatnak, ad abszurdum megakadályozhatják az értékesítését bizonyos személyek számára.</w:t>
      </w:r>
    </w:p>
    <w:p w14:paraId="51300803" w14:textId="77777777" w:rsidR="00AF3F94" w:rsidRPr="00C920DF" w:rsidRDefault="001107CD">
      <w:pPr>
        <w:rPr>
          <w:lang w:val="hu-HU"/>
        </w:rPr>
      </w:pPr>
      <w:r w:rsidRPr="00C920DF">
        <w:rPr>
          <w:lang w:val="hu-HU"/>
        </w:rPr>
        <w:t xml:space="preserve">Már a praxisjogról szóló törvényt megelőző vita során felmerült, hogy semmiféle finanszírozási garancia nincs a törvénybe építve, így az állam a privatizációt követően akár vissza is élhet a szerződésekkel, kiüresítheti és elértéktelenítheti a praxisokat, és a praxisjogot is. Nem kell nagy igazságtevőnek lennie, hogy azt mondjuk, akik 2000-ben ezt előre látták (részben) igazuk lett. A praxisjog létrehozását követően 15 évig - egészen a 2015. évi alapellátási törvény megszületéséig - nem volt lényegi változtatás a praxisokat és a finanszírozásukat érintő kérdésben, miközben az alapellátás legnagyobb része privatizált. Számos kolléga, </w:t>
      </w:r>
      <w:r w:rsidRPr="00C920DF">
        <w:rPr>
          <w:b/>
          <w:lang w:val="hu-HU"/>
        </w:rPr>
        <w:t>a körzeti fogorvosok 90%-a választott a privatizált vállalkozási formát</w:t>
      </w:r>
      <w:r w:rsidRPr="00C920DF">
        <w:rPr>
          <w:lang w:val="hu-HU"/>
        </w:rPr>
        <w:t>. A fogorvosi praxisok finanszírozása ugyanakkor sokáig nem változott. Tudni kell, hogy a fogorvosi ellátórendszer privatizációjakor az ellátások java része co-paymentes (részben a beteg által fizetett) volt, amelyet 2001-ben eltöröltek. A finanszírozási startégiában ez nem jelent meg, ez hosszútávon nagyon komoly elmaradást jelentett a közfinanszírozott fogászatokon.</w:t>
      </w:r>
    </w:p>
    <w:p w14:paraId="3AB03CDF" w14:textId="77777777" w:rsidR="00AF3F94" w:rsidRPr="00C920DF" w:rsidRDefault="001107CD">
      <w:pPr>
        <w:rPr>
          <w:lang w:val="hu-HU"/>
        </w:rPr>
      </w:pPr>
      <w:r w:rsidRPr="00C920DF">
        <w:rPr>
          <w:lang w:val="hu-HU"/>
        </w:rPr>
        <w:lastRenderedPageBreak/>
        <w:t>Könnyen belátható, hogy az egészségügyben a gazdaság más területeihez képest egy új technológia alkalmazása nemhogy olcsóbbá, hanem drágábba teszi az ellátást. Vegyük például a gyökérkezelést: a 90-es évek elején még nem használtak jóformán gyökérhossz érzékelő műszert, vagy mikroszkópot. Az előbbiből egy kb. 200 – 300 ezer forint között van, az utóbbi meghaladja akár a 15 millió forintot, és akkor még nem beszéltünk a CBCT- vel készített felvételekről, a CBCT áráról vagy a 3D csatornamodellező szoftverekről. Hol is tartunk most? Nagyon soknál.</w:t>
      </w:r>
    </w:p>
    <w:p w14:paraId="161C126D" w14:textId="77777777" w:rsidR="00AF3F94" w:rsidRPr="00C920DF" w:rsidRDefault="001107CD">
      <w:pPr>
        <w:rPr>
          <w:lang w:val="hu-HU"/>
        </w:rPr>
      </w:pPr>
      <w:r w:rsidRPr="00C920DF">
        <w:rPr>
          <w:lang w:val="hu-HU"/>
        </w:rPr>
        <w:t>Sajnálatos, hogy több tiltakozó akció kellett, hogy két egyszeri támogatás majd egy új finanszírozási sor (rezsitámogatás) jelenjen meg a finanszírozásunkban. Lényegi változás ugyanakkor nem történt sem nálunk, sem a háziorvos oldalon. Ugyanakkor ott a "háttérben" számos, rendszerszintű modellprogram indult el. Ilyenek voltak a 2013-as Svájci-Magyar Alapellátás-fejlesztési Modellprogram vagy a 2018-as Uniós „EFOP-VEKOP” Program. Ezek eddig politikai akarat nélkül még lényegi figyelmet sem kaptak, nemhogy komoly megfontolást arra, hogy bevezessék őket.</w:t>
      </w:r>
    </w:p>
    <w:p w14:paraId="4DFBAA27" w14:textId="77777777" w:rsidR="00AF3F94" w:rsidRPr="00C920DF" w:rsidRDefault="001107CD">
      <w:pPr>
        <w:rPr>
          <w:lang w:val="hu-HU"/>
        </w:rPr>
      </w:pPr>
      <w:r w:rsidRPr="00C920DF">
        <w:rPr>
          <w:lang w:val="hu-HU"/>
        </w:rPr>
        <w:t>Most hirtelen a járvány miatt felgyorsultak az események, a kormány rendezni szeretné az egészségügy helyzetét. Ezért van többeknek az a furcsa kettősség érzetük, hogy az események egyrészt túl lassan, másrészről hihetetlenül gyorsan történnek. Évtizedes elmaradások bepótlására látunk kísérletet pár hetes vagy hónapos határidőkkel. Ugyanakkor reméljük, hogy a sietségből fakadó gyermekbetegségek hamar orvoslásra kerülnek.</w:t>
      </w:r>
    </w:p>
    <w:p w14:paraId="4ABB69BE" w14:textId="77777777" w:rsidR="00AF3F94" w:rsidRPr="00C920DF" w:rsidRDefault="001107CD">
      <w:pPr>
        <w:pStyle w:val="Heading1"/>
        <w:keepNext/>
        <w:rPr>
          <w:lang w:val="hu-HU"/>
        </w:rPr>
      </w:pPr>
      <w:r w:rsidRPr="00C920DF">
        <w:rPr>
          <w:lang w:val="hu-HU"/>
        </w:rPr>
        <w:t>Mit hoz a praxisközösségekről szóló rendelet?</w:t>
      </w:r>
    </w:p>
    <w:p w14:paraId="12D4741E" w14:textId="77777777" w:rsidR="00AF3F94" w:rsidRPr="00C920DF" w:rsidRDefault="001107CD">
      <w:pPr>
        <w:rPr>
          <w:lang w:val="hu-HU"/>
        </w:rPr>
      </w:pPr>
      <w:r w:rsidRPr="00C920DF">
        <w:rPr>
          <w:b/>
          <w:lang w:val="hu-HU"/>
        </w:rPr>
        <w:t>A rendelet sajnos nem egy átfogó alapellátási reform</w:t>
      </w:r>
      <w:r w:rsidRPr="00C920DF">
        <w:rPr>
          <w:lang w:val="hu-HU"/>
        </w:rPr>
        <w:t xml:space="preserve">. Mai állapotában </w:t>
      </w:r>
      <w:r w:rsidRPr="00C920DF">
        <w:rPr>
          <w:b/>
          <w:lang w:val="hu-HU"/>
        </w:rPr>
        <w:t>kizárólag praxis-szervezési és bér kérdésekkel foglalkozik</w:t>
      </w:r>
      <w:r w:rsidRPr="00C920DF">
        <w:rPr>
          <w:lang w:val="hu-HU"/>
        </w:rPr>
        <w:t>. A praxisközösségekről szóló rendelet a fent említett 2000. évi II. törvényben meghatározott háziorvosokra, házi gyermekorvosokra, fogorvosokra vonatkozik, így nekik van lehetőségük jelentős bértámogatás mellett csatlakozni a praxisközösséghez.</w:t>
      </w:r>
    </w:p>
    <w:p w14:paraId="7B77716C" w14:textId="77777777" w:rsidR="00AF3F94" w:rsidRPr="00C920DF" w:rsidRDefault="001107CD">
      <w:pPr>
        <w:rPr>
          <w:lang w:val="hu-HU"/>
        </w:rPr>
      </w:pPr>
      <w:r w:rsidRPr="00C920DF">
        <w:rPr>
          <w:lang w:val="hu-HU"/>
        </w:rPr>
        <w:t>A rendelet kibővíti a 2015-ös alapellátási törvényben foglalt "praxisközösség" fogalmát és két lényegi kategóriát különböztet meg az orvosok bértámogatási összegének megkülönböztetésével:</w:t>
      </w:r>
    </w:p>
    <w:p w14:paraId="304723DD" w14:textId="77777777" w:rsidR="00AF3F94" w:rsidRPr="00C920DF" w:rsidRDefault="001107CD">
      <w:pPr>
        <w:numPr>
          <w:ilvl w:val="0"/>
          <w:numId w:val="1"/>
        </w:numPr>
        <w:spacing w:before="0" w:after="0"/>
        <w:rPr>
          <w:lang w:val="hu-HU"/>
        </w:rPr>
      </w:pPr>
      <w:r w:rsidRPr="00C920DF">
        <w:rPr>
          <w:lang w:val="hu-HU"/>
        </w:rPr>
        <w:t xml:space="preserve">laza vagy </w:t>
      </w:r>
      <w:r w:rsidRPr="00C920DF">
        <w:rPr>
          <w:i/>
          <w:lang w:val="hu-HU"/>
        </w:rPr>
        <w:t>kollegiális praxisközösség</w:t>
      </w:r>
      <w:r w:rsidRPr="00C920DF">
        <w:rPr>
          <w:lang w:val="hu-HU"/>
        </w:rPr>
        <w:t>, amely fejébe 80%-os bértámogatást ad az orvosok részre</w:t>
      </w:r>
    </w:p>
    <w:p w14:paraId="343790DB" w14:textId="77777777" w:rsidR="00AF3F94" w:rsidRPr="00C920DF" w:rsidRDefault="001107CD">
      <w:pPr>
        <w:numPr>
          <w:ilvl w:val="0"/>
          <w:numId w:val="1"/>
        </w:numPr>
        <w:spacing w:before="0" w:after="0"/>
        <w:rPr>
          <w:lang w:val="hu-HU"/>
        </w:rPr>
      </w:pPr>
      <w:r w:rsidRPr="00C920DF">
        <w:rPr>
          <w:i/>
          <w:lang w:val="hu-HU"/>
        </w:rPr>
        <w:t>szoros praxisközösség</w:t>
      </w:r>
      <w:r w:rsidRPr="00C920DF">
        <w:rPr>
          <w:lang w:val="hu-HU"/>
        </w:rPr>
        <w:t>, amely fejébe 100%-os bértámogatás igénylehető.</w:t>
      </w:r>
    </w:p>
    <w:p w14:paraId="52BCE48B" w14:textId="77777777" w:rsidR="00AF3F94" w:rsidRPr="00C920DF" w:rsidRDefault="001107CD">
      <w:pPr>
        <w:rPr>
          <w:lang w:val="hu-HU"/>
        </w:rPr>
      </w:pPr>
      <w:r w:rsidRPr="00C920DF">
        <w:rPr>
          <w:lang w:val="hu-HU"/>
        </w:rPr>
        <w:t xml:space="preserve">Ez utóbbi forma esetében 3 különböző fajta együttműködési formát különböztetünk meg: </w:t>
      </w:r>
      <w:r w:rsidRPr="00C920DF">
        <w:rPr>
          <w:i/>
          <w:lang w:val="hu-HU"/>
        </w:rPr>
        <w:t>egyesített</w:t>
      </w:r>
      <w:r w:rsidRPr="00C920DF">
        <w:rPr>
          <w:lang w:val="hu-HU"/>
        </w:rPr>
        <w:t xml:space="preserve"> praxisközösséget, </w:t>
      </w:r>
      <w:r w:rsidRPr="00C920DF">
        <w:rPr>
          <w:i/>
          <w:lang w:val="hu-HU"/>
        </w:rPr>
        <w:t>integrált</w:t>
      </w:r>
      <w:r w:rsidRPr="00C920DF">
        <w:rPr>
          <w:lang w:val="hu-HU"/>
        </w:rPr>
        <w:t xml:space="preserve"> praxisközösséget vagy </w:t>
      </w:r>
      <w:r w:rsidRPr="00C920DF">
        <w:rPr>
          <w:i/>
          <w:lang w:val="hu-HU"/>
        </w:rPr>
        <w:t>konzorciumi</w:t>
      </w:r>
      <w:r w:rsidRPr="00C920DF">
        <w:rPr>
          <w:lang w:val="hu-HU"/>
        </w:rPr>
        <w:t xml:space="preserve"> együttműködést. Ezeknek a formáknak a pontos kidolgozása folyamatban van. Ugyanakkor most azt valószínűsítjük, hogy a konzorciumi együttműködés lesz a fogorvosok számára a legvállalhatóbb szoros együttműködési forma a legmagasabb bértámogatás elnyerése érdekében. Továbbá a rendelet lehetőséget ad arra, hogy az orvosok esetlegesen kimaradjanak a praxisközösségből, így viszont csak a táblázat szerinti 30%-os bértámogatás jár nekik. Fontos megjegyezni, hogy a praxisközösséghez való csatlakozás a szakdolgozók bértámogatását nem érinti, ők forma-függetlenül megkapják a praxison keresztül az őket jogosan illető bérkiegészítést.</w:t>
      </w:r>
    </w:p>
    <w:p w14:paraId="3398912C" w14:textId="77777777" w:rsidR="00AF3F94" w:rsidRPr="00C920DF" w:rsidRDefault="001107CD">
      <w:pPr>
        <w:pStyle w:val="Heading1"/>
        <w:keepNext/>
        <w:rPr>
          <w:lang w:val="hu-HU"/>
        </w:rPr>
      </w:pPr>
      <w:r w:rsidRPr="00C920DF">
        <w:rPr>
          <w:lang w:val="hu-HU"/>
        </w:rPr>
        <w:lastRenderedPageBreak/>
        <w:t>Miért jó a fogorvosoknak a praxisközösség?</w:t>
      </w:r>
    </w:p>
    <w:p w14:paraId="7F06154E" w14:textId="77777777" w:rsidR="00AF3F94" w:rsidRPr="00C920DF" w:rsidRDefault="001107CD">
      <w:pPr>
        <w:rPr>
          <w:lang w:val="hu-HU"/>
        </w:rPr>
      </w:pPr>
      <w:r w:rsidRPr="00C920DF">
        <w:rPr>
          <w:lang w:val="hu-HU"/>
        </w:rPr>
        <w:t>Az 53/2021. (II. 9.) Korm. rendelet alapvetően több praxis együttes működési formáját célozza meg jelentős bértámogatásért cserébe. Alapvetően a praxisközösségekről szóló rendelet hatálya a Területi Ellátási Kötelzettséggel (TEK) rendelkező körzetekre terjed ki. Ezen belül léphetnek a kollégák a részben szándékuk szerint, részben lehetőségeik szerint praxisközösségbe. A most bevezetett bértámogatási rendszer szintjei is ennek megfelelően vehetők igénybe.</w:t>
      </w:r>
    </w:p>
    <w:p w14:paraId="276C46C0" w14:textId="77777777" w:rsidR="00AF3F94" w:rsidRPr="00C920DF" w:rsidRDefault="001107CD">
      <w:pPr>
        <w:rPr>
          <w:lang w:val="hu-HU"/>
        </w:rPr>
      </w:pPr>
      <w:r w:rsidRPr="00C920DF">
        <w:rPr>
          <w:b/>
          <w:lang w:val="hu-HU"/>
        </w:rPr>
        <w:t>A rendszer lényege, hogy amit egy kolléga nem tud kihasználni, azt többen ki tudják, legyen az a háziorvosi modellprogramokban felvett plusz szakdolgozó, vagy egy plusz egy eszköz, mint a fent említett mikroszkóp</w:t>
      </w:r>
      <w:r w:rsidRPr="00C920DF">
        <w:rPr>
          <w:lang w:val="hu-HU"/>
        </w:rPr>
        <w:t>. Persze, a fogorvosoknak voltak “kvázi praxisközösségei”, hiszen több rendelő “tart el” egy fogtechnikai laboratóriumot, de itt a labor nem a “fogorvosi praxisközösség” tulajdona. Emelett, ha – és most találgatunk – ha nem kell plusz munkaidőben helyettesíteni a praxisközösségen belül, akkor a fogorvosi szakvizsgák a bértámogatási rendszer mellett jobban hozzáférhetőkké válnak a kollégák számára. Plusz lehetőség van a praxisközösségen belül a szakvizsgák használatára. Az még kérdés, hogy ha valaki elkezdi használni a szakvizsgáját, 5-10 körzetre, akkor az olyan szintű betegigény mellett, mint amit a fogszabályozásnál látunk (3-5 éves várólisták vannak), nem változik-e át az illető teljes értékű fogászati szakellátóvá, ahol az illetőnek nem less ideje a saját alapellátási körzetével foglalkozni. Ez a háziorvosi rendszerben is elképzelhető, az olyan szakvizsgák esetében, ahol a betegeknek a sokat kell várni.</w:t>
      </w:r>
    </w:p>
    <w:p w14:paraId="7FE2FF80" w14:textId="77777777" w:rsidR="00AF3F94" w:rsidRPr="00C920DF" w:rsidRDefault="001107CD">
      <w:pPr>
        <w:pStyle w:val="Heading1"/>
        <w:keepNext/>
        <w:rPr>
          <w:lang w:val="hu-HU"/>
        </w:rPr>
      </w:pPr>
      <w:r w:rsidRPr="00C920DF">
        <w:rPr>
          <w:lang w:val="hu-HU"/>
        </w:rPr>
        <w:t>Kik maradtak ki a rendeletből és mi lehet számukra a megoldás?</w:t>
      </w:r>
    </w:p>
    <w:p w14:paraId="4270C3D7" w14:textId="77777777" w:rsidR="00AF3F94" w:rsidRPr="00C920DF" w:rsidRDefault="001107CD">
      <w:pPr>
        <w:rPr>
          <w:lang w:val="hu-HU"/>
        </w:rPr>
      </w:pPr>
      <w:r w:rsidRPr="00C920DF">
        <w:rPr>
          <w:lang w:val="hu-HU"/>
        </w:rPr>
        <w:t>A rendelet jelen állapotában azokra a praxisokra vonatkozik, amelyek a 2000. évi II. törvény hatálya alá esnek, így azokra, akik területi ellátási kötelezettséggel rendelkeznek. Így nem vonatkozik TEK hiányában az iskolafogászatot ellátó orvosokra, illetve a közreműködő szakellátókra. Lehet, hogy szőrszálhasogatásnak tűnik, de itt kell megjegyeznünk, hogy jogszabály szerint „</w:t>
      </w:r>
      <w:r w:rsidRPr="00C920DF">
        <w:rPr>
          <w:i/>
          <w:lang w:val="hu-HU"/>
        </w:rPr>
        <w:t>iskolafogorvos</w:t>
      </w:r>
      <w:r w:rsidRPr="00C920DF">
        <w:rPr>
          <w:lang w:val="hu-HU"/>
        </w:rPr>
        <w:t>” nincs, csak „</w:t>
      </w:r>
      <w:r w:rsidRPr="00C920DF">
        <w:rPr>
          <w:i/>
          <w:lang w:val="hu-HU"/>
        </w:rPr>
        <w:t>iskolafogászati feladatot ellátó személy</w:t>
      </w:r>
      <w:r w:rsidRPr="00C920DF">
        <w:rPr>
          <w:lang w:val="hu-HU"/>
        </w:rPr>
        <w:t xml:space="preserve">”, amely sajnos a praxistörvénytől független tevékenység. Nagyon szomorú és esetlen, ugyanakkor sokunk számára ismert az Alkotmány Bíróság 3250/2019. (X. 30.) számú határozata, amely végleg kimondta, hogy </w:t>
      </w:r>
      <w:r w:rsidRPr="00C920DF">
        <w:rPr>
          <w:b/>
          <w:lang w:val="hu-HU"/>
        </w:rPr>
        <w:t>az iskolafogászatot ellátó személyeknek TEK hiányában nincs praxisjoguk</w:t>
      </w:r>
      <w:r w:rsidRPr="00C920DF">
        <w:rPr>
          <w:lang w:val="hu-HU"/>
        </w:rPr>
        <w:t>. Így most őket ez a kérdés különösen húsbavágóan érinti, hogy nem tudnak a praxisközösségekhez csatlakozni.</w:t>
      </w:r>
    </w:p>
    <w:p w14:paraId="7B15F022" w14:textId="77777777" w:rsidR="00AF3F94" w:rsidRPr="00C920DF" w:rsidRDefault="001107CD">
      <w:pPr>
        <w:rPr>
          <w:lang w:val="hu-HU"/>
        </w:rPr>
      </w:pPr>
      <w:r w:rsidRPr="00C920DF">
        <w:rPr>
          <w:lang w:val="hu-HU"/>
        </w:rPr>
        <w:t>Az Országos Korház Főigazgatósággal történt tárgyalások során ígéretet kaptunk, hogy támogató pozícióban a későbbiek folyamán ők is csatlakozhatnak a praxisközösségekhez.</w:t>
      </w:r>
    </w:p>
    <w:p w14:paraId="13AA512C" w14:textId="77777777" w:rsidR="00AF3F94" w:rsidRPr="00C920DF" w:rsidRDefault="001107CD">
      <w:pPr>
        <w:rPr>
          <w:lang w:val="hu-HU"/>
        </w:rPr>
      </w:pPr>
      <w:r w:rsidRPr="00C920DF">
        <w:rPr>
          <w:lang w:val="hu-HU"/>
        </w:rPr>
        <w:lastRenderedPageBreak/>
        <w:t>A szakellátók, akik a kórházakkal állnak kapcsolatban, kaptak lehetőséget a jogviszony alá térésre, azok akik az önkormányzatokkal vannak szerződéses viszonyban, gyakran nem, és nem csak a fogorvosi szakellátóknál jelent ez problémát. Itt még több megoldás elképzelhető.</w:t>
      </w:r>
    </w:p>
    <w:p w14:paraId="07F8D28A" w14:textId="77777777" w:rsidR="00AF3F94" w:rsidRPr="00C920DF" w:rsidRDefault="001107CD">
      <w:pPr>
        <w:rPr>
          <w:lang w:val="hu-HU"/>
        </w:rPr>
      </w:pPr>
      <w:r w:rsidRPr="00C920DF">
        <w:rPr>
          <w:lang w:val="hu-HU"/>
        </w:rPr>
        <w:t>Reméljük, hogy a gondok megoldásai a mielőbb a Magyar Közlöny hasábjain is manifesztálódni tudnak, így ezen kollégáink is részesülni tudnak a praxisközösségeket érintő előnyökből.</w:t>
      </w:r>
    </w:p>
    <w:p w14:paraId="6FB1AB88" w14:textId="38D42401" w:rsidR="00AF3F94" w:rsidRPr="00C920DF" w:rsidRDefault="001107CD" w:rsidP="001107CD">
      <w:pPr>
        <w:jc w:val="center"/>
        <w:rPr>
          <w:lang w:val="hu-HU"/>
        </w:rPr>
      </w:pPr>
      <w:r w:rsidRPr="00C920DF">
        <w:rPr>
          <w:i/>
          <w:lang w:val="hu-HU"/>
        </w:rPr>
        <w:t xml:space="preserve">Írta: </w:t>
      </w:r>
      <w:r w:rsidRPr="00C920DF">
        <w:rPr>
          <w:b/>
          <w:bCs/>
          <w:i/>
          <w:lang w:val="hu-HU"/>
        </w:rPr>
        <w:t>dr. D</w:t>
      </w:r>
      <w:r w:rsidR="00BA08AB" w:rsidRPr="00C920DF">
        <w:rPr>
          <w:b/>
          <w:bCs/>
          <w:i/>
          <w:lang w:val="hu-HU"/>
        </w:rPr>
        <w:t>u</w:t>
      </w:r>
      <w:r w:rsidRPr="00C920DF">
        <w:rPr>
          <w:b/>
          <w:bCs/>
          <w:i/>
          <w:lang w:val="hu-HU"/>
        </w:rPr>
        <w:t>l Zoltán</w:t>
      </w:r>
      <w:r w:rsidR="00BA08AB" w:rsidRPr="00C920DF">
        <w:rPr>
          <w:b/>
          <w:bCs/>
          <w:i/>
          <w:lang w:val="hu-HU"/>
        </w:rPr>
        <w:t xml:space="preserve"> PhD</w:t>
      </w:r>
      <w:r w:rsidRPr="00C920DF">
        <w:rPr>
          <w:i/>
          <w:lang w:val="hu-HU"/>
        </w:rPr>
        <w:t xml:space="preserve"> fogorvos </w:t>
      </w:r>
      <w:r w:rsidRPr="00C920DF">
        <w:rPr>
          <w:b/>
          <w:bCs/>
          <w:i/>
          <w:lang w:val="hu-HU"/>
        </w:rPr>
        <w:t>dr. Nagy Ákos</w:t>
      </w:r>
      <w:r w:rsidRPr="00C920DF">
        <w:rPr>
          <w:i/>
          <w:lang w:val="hu-HU"/>
        </w:rPr>
        <w:t xml:space="preserve"> fogszakorvos</w:t>
      </w:r>
    </w:p>
    <w:sectPr w:rsidR="00AF3F94" w:rsidRPr="00C920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A08C1"/>
    <w:multiLevelType w:val="hybridMultilevel"/>
    <w:tmpl w:val="89FAC9B0"/>
    <w:lvl w:ilvl="0" w:tplc="167E1FCC">
      <w:start w:val="1"/>
      <w:numFmt w:val="bullet"/>
      <w:lvlText w:val=""/>
      <w:lvlJc w:val="left"/>
      <w:pPr>
        <w:ind w:left="720" w:hanging="360"/>
      </w:pPr>
      <w:rPr>
        <w:rFonts w:ascii="Symbol" w:hAnsi="Symbol" w:hint="default"/>
      </w:rPr>
    </w:lvl>
    <w:lvl w:ilvl="1" w:tplc="2EA01A2C">
      <w:start w:val="1"/>
      <w:numFmt w:val="bullet"/>
      <w:lvlText w:val=""/>
      <w:lvlJc w:val="left"/>
      <w:pPr>
        <w:ind w:left="1440" w:hanging="360"/>
      </w:pPr>
      <w:rPr>
        <w:rFonts w:ascii="Symbol" w:hAnsi="Symbol" w:hint="default"/>
      </w:rPr>
    </w:lvl>
    <w:lvl w:ilvl="2" w:tplc="67049816">
      <w:start w:val="1"/>
      <w:numFmt w:val="bullet"/>
      <w:lvlText w:val=""/>
      <w:lvlJc w:val="left"/>
      <w:pPr>
        <w:ind w:left="2160" w:hanging="360"/>
      </w:pPr>
      <w:rPr>
        <w:rFonts w:ascii="Symbol" w:hAnsi="Symbol" w:hint="default"/>
      </w:rPr>
    </w:lvl>
    <w:lvl w:ilvl="3" w:tplc="E9F86888">
      <w:start w:val="1"/>
      <w:numFmt w:val="bullet"/>
      <w:lvlText w:val=""/>
      <w:lvlJc w:val="left"/>
      <w:pPr>
        <w:ind w:left="2880" w:hanging="360"/>
      </w:pPr>
      <w:rPr>
        <w:rFonts w:ascii="Symbol" w:hAnsi="Symbol" w:hint="default"/>
      </w:rPr>
    </w:lvl>
    <w:lvl w:ilvl="4" w:tplc="AA9A5A32">
      <w:start w:val="1"/>
      <w:numFmt w:val="bullet"/>
      <w:lvlText w:val=""/>
      <w:lvlJc w:val="left"/>
      <w:pPr>
        <w:ind w:left="3600" w:hanging="360"/>
      </w:pPr>
      <w:rPr>
        <w:rFonts w:ascii="Symbol" w:hAnsi="Symbol" w:hint="default"/>
      </w:rPr>
    </w:lvl>
    <w:lvl w:ilvl="5" w:tplc="935CBA50">
      <w:start w:val="1"/>
      <w:numFmt w:val="bullet"/>
      <w:lvlText w:val=""/>
      <w:lvlJc w:val="left"/>
      <w:pPr>
        <w:ind w:left="4320" w:hanging="360"/>
      </w:pPr>
      <w:rPr>
        <w:rFonts w:ascii="Symbol" w:hAnsi="Symbol" w:hint="default"/>
      </w:rPr>
    </w:lvl>
    <w:lvl w:ilvl="6" w:tplc="14685558">
      <w:numFmt w:val="decimal"/>
      <w:lvlText w:val=""/>
      <w:lvlJc w:val="left"/>
    </w:lvl>
    <w:lvl w:ilvl="7" w:tplc="82E4C67C">
      <w:numFmt w:val="decimal"/>
      <w:lvlText w:val=""/>
      <w:lvlJc w:val="left"/>
    </w:lvl>
    <w:lvl w:ilvl="8" w:tplc="01069B94">
      <w:numFmt w:val="decimal"/>
      <w:lvlText w:val=""/>
      <w:lvlJc w:val="left"/>
    </w:lvl>
  </w:abstractNum>
  <w:num w:numId="1" w16cid:durableId="14743675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5FB8"/>
    <w:rsid w:val="001107CD"/>
    <w:rsid w:val="00423093"/>
    <w:rsid w:val="006E5FB8"/>
    <w:rsid w:val="00AF3F94"/>
    <w:rsid w:val="00BA08AB"/>
    <w:rsid w:val="00C920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B240C8B"/>
  <w14:defaultImageDpi w14:val="300"/>
  <w15:docId w15:val="{89408FD2-C445-D043-9B6A-334A817B2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300" w:after="300" w:line="336" w:lineRule="auto"/>
    </w:pPr>
  </w:style>
  <w:style w:type="paragraph" w:styleId="Heading1">
    <w:name w:val="heading 1"/>
    <w:basedOn w:val="Normal"/>
    <w:next w:val="Normal"/>
    <w:link w:val="Heading1Char"/>
    <w:uiPriority w:val="9"/>
    <w:qFormat/>
    <w:pPr>
      <w:spacing w:before="540" w:after="180"/>
      <w:outlineLvl w:val="0"/>
    </w:pPr>
    <w:rPr>
      <w:rFonts w:asciiTheme="majorHAnsi" w:eastAsiaTheme="majorEastAsia" w:hAnsiTheme="majorHAnsi" w:cstheme="majorBidi"/>
      <w:b/>
      <w:bCs/>
      <w:kern w:val="36"/>
      <w:sz w:val="36"/>
      <w:szCs w:val="36"/>
    </w:rPr>
  </w:style>
  <w:style w:type="paragraph" w:styleId="Heading2">
    <w:name w:val="heading 2"/>
    <w:basedOn w:val="Normal"/>
    <w:next w:val="Normal"/>
    <w:link w:val="Heading2Char"/>
    <w:uiPriority w:val="9"/>
    <w:qFormat/>
    <w:pPr>
      <w:spacing w:before="480" w:after="160"/>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qFormat/>
    <w:pPr>
      <w:spacing w:before="390" w:after="13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pPr>
      <w:keepNext/>
      <w:keepLines/>
      <w:spacing w:after="100"/>
      <w:outlineLvl w:val="3"/>
    </w:pPr>
    <w:rPr>
      <w:rFonts w:asciiTheme="majorHAnsi" w:eastAsiaTheme="majorEastAsia" w:hAnsiTheme="majorHAnsi" w:cstheme="majorBidi"/>
      <w:b/>
      <w:bCs/>
    </w:rPr>
  </w:style>
  <w:style w:type="paragraph" w:styleId="Heading5">
    <w:name w:val="heading 5"/>
    <w:basedOn w:val="Normal"/>
    <w:next w:val="Normal"/>
    <w:link w:val="Heading5Char"/>
    <w:uiPriority w:val="9"/>
    <w:unhideWhenUsed/>
    <w:qFormat/>
    <w:rsid w:val="006E5FB8"/>
    <w:pPr>
      <w:keepNext/>
      <w:keepLines/>
      <w:spacing w:after="100"/>
      <w:outlineLvl w:val="4"/>
    </w:pPr>
    <w:rPr>
      <w:rFonts w:asciiTheme="majorHAnsi" w:eastAsiaTheme="majorEastAsia" w:hAnsiTheme="majorHAnsi" w:cstheme="majorBidi"/>
      <w:i/>
      <w:iCs/>
    </w:rPr>
  </w:style>
  <w:style w:type="paragraph" w:styleId="Heading6">
    <w:name w:val="heading 6"/>
    <w:basedOn w:val="Normal"/>
    <w:next w:val="Normal"/>
    <w:link w:val="Heading6Char"/>
    <w:uiPriority w:val="9"/>
    <w:unhideWhenUsed/>
    <w:qFormat/>
    <w:rsid w:val="006E5FB8"/>
    <w:pPr>
      <w:keepNext/>
      <w:keepLines/>
      <w:spacing w:after="100"/>
      <w:outlineLvl w:val="5"/>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uiPriority w:val="10"/>
    <w:qFormat/>
    <w:pPr>
      <w:ind w:left="720"/>
    </w:p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45A8A" w:themeColor="accent1" w:themeShade="B5"/>
      <w:sz w:val="36"/>
      <w:szCs w:val="36"/>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E5FB8"/>
    <w:rPr>
      <w:rFonts w:asciiTheme="majorHAnsi" w:eastAsiaTheme="majorEastAsia" w:hAnsiTheme="majorHAnsi" w:cstheme="majorBidi"/>
      <w:b/>
      <w:bCs/>
    </w:rPr>
  </w:style>
  <w:style w:type="character" w:customStyle="1" w:styleId="Heading5Char">
    <w:name w:val="Heading 5 Char"/>
    <w:basedOn w:val="DefaultParagraphFont"/>
    <w:link w:val="Heading5"/>
    <w:uiPriority w:val="9"/>
    <w:rsid w:val="006E5FB8"/>
    <w:rPr>
      <w:rFonts w:asciiTheme="majorHAnsi" w:eastAsiaTheme="majorEastAsia" w:hAnsiTheme="majorHAnsi" w:cstheme="majorBidi"/>
      <w:i/>
      <w:iCs/>
    </w:rPr>
  </w:style>
  <w:style w:type="character" w:customStyle="1" w:styleId="Heading6Char">
    <w:name w:val="Heading 6 Char"/>
    <w:basedOn w:val="DefaultParagraphFont"/>
    <w:link w:val="Heading6"/>
    <w:uiPriority w:val="9"/>
    <w:rsid w:val="006E5FB8"/>
    <w:rPr>
      <w:rFonts w:asciiTheme="majorHAnsi" w:eastAsiaTheme="majorEastAsia" w:hAnsiTheme="majorHAnsi" w:cstheme="majorBidi"/>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customStyle="1" w:styleId="Code">
    <w:name w:val="Code"/>
    <w:basedOn w:val="DefaultParagraphFont"/>
    <w:uiPriority w:val="24"/>
    <w:qFormat/>
    <w:rPr>
      <w:rFonts w:ascii="Consolas" w:hAnsi="Consolas" w:cs="Consolas"/>
    </w:rPr>
  </w:style>
  <w:style w:type="character" w:customStyle="1" w:styleId="FootnoteTextChar">
    <w:name w:val="Footnote Text Char"/>
    <w:basedOn w:val="DefaultParagraphFont"/>
    <w:uiPriority w:val="99"/>
    <w:semiHidden/>
  </w:style>
  <w:style w:type="character" w:styleId="FootnoteReference">
    <w:name w:val="footnote reference"/>
    <w:basedOn w:val="DefaultParagraphFont"/>
    <w:uiPriority w:val="99"/>
    <w:semiHidden/>
    <w:unhideWhenUsed/>
    <w:rPr>
      <w:vertAlign w:val="superscript"/>
    </w:rPr>
  </w:style>
  <w:style w:type="paragraph" w:styleId="Caption">
    <w:name w:val="caption"/>
    <w:basedOn w:val="Normal"/>
    <w:next w:val="Normal"/>
    <w:uiPriority w:val="35"/>
    <w:unhideWhenUsed/>
    <w:qFormat/>
    <w:pPr>
      <w:spacing w:after="200"/>
    </w:pPr>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69600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853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1951873">
      <w:blockQuote w:val="1"/>
      <w:marLeft w:val="720"/>
      <w:marRight w:val="720"/>
      <w:marTop w:val="100"/>
      <w:marBottom w:val="10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1389</Words>
  <Characters>7918</Characters>
  <Application>Microsoft Office Word</Application>
  <DocSecurity>0</DocSecurity>
  <Lines>65</Lines>
  <Paragraphs>18</Paragraphs>
  <ScaleCrop>false</ScaleCrop>
  <Company/>
  <LinksUpToDate>false</LinksUpToDate>
  <CharactersWithSpaces>9289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Zoltán Dr. Dúl</cp:lastModifiedBy>
  <cp:revision>4</cp:revision>
  <dcterms:created xsi:type="dcterms:W3CDTF">2021-04-06T13:01:00Z</dcterms:created>
  <dcterms:modified xsi:type="dcterms:W3CDTF">2026-06-14T14:01:00Z</dcterms:modified>
</cp:coreProperties>
</file>